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28"/>
          <w:szCs w:val="28"/>
        </w:rPr>
      </w:pPr>
      <w:r>
        <w:rPr>
          <w:rFonts w:hint="eastAsia"/>
          <w:b/>
          <w:sz w:val="28"/>
          <w:szCs w:val="28"/>
        </w:rPr>
        <w:t>中国农业大学非全日制专业学位硕士研究生相关政策知情书</w:t>
      </w:r>
    </w:p>
    <w:p>
      <w:pPr>
        <w:spacing w:before="156" w:beforeLines="50" w:line="360" w:lineRule="auto"/>
        <w:rPr>
          <w:rFonts w:hint="eastAsia" w:ascii="黑体" w:hAnsi="黑体" w:eastAsia="黑体"/>
          <w:kern w:val="0"/>
          <w:sz w:val="24"/>
        </w:rPr>
      </w:pPr>
      <w:r>
        <w:rPr>
          <w:rFonts w:hint="eastAsia" w:ascii="黑体" w:hAnsi="黑体" w:eastAsia="黑体"/>
          <w:kern w:val="0"/>
          <w:sz w:val="24"/>
        </w:rPr>
        <w:t>本人自愿攻读中国农业大学非全日制专业学位硕士研究生，承诺对以下内容知情同意：</w:t>
      </w:r>
    </w:p>
    <w:p>
      <w:pPr>
        <w:spacing w:line="360" w:lineRule="auto"/>
        <w:rPr>
          <w:bCs/>
          <w:kern w:val="0"/>
          <w:sz w:val="24"/>
        </w:rPr>
      </w:pPr>
      <w:r>
        <w:rPr>
          <w:rFonts w:ascii="黑体" w:hAnsi="黑体" w:eastAsia="黑体"/>
          <w:kern w:val="0"/>
          <w:sz w:val="24"/>
        </w:rPr>
        <w:t>一</w:t>
      </w:r>
      <w:r>
        <w:rPr>
          <w:rFonts w:hint="eastAsia" w:ascii="黑体" w:hAnsi="黑体" w:eastAsia="黑体"/>
          <w:kern w:val="0"/>
          <w:sz w:val="24"/>
        </w:rPr>
        <w:t>、</w:t>
      </w:r>
      <w:r>
        <w:rPr>
          <w:rFonts w:ascii="黑体" w:hAnsi="黑体" w:eastAsia="黑体"/>
          <w:kern w:val="0"/>
          <w:sz w:val="24"/>
        </w:rPr>
        <w:t>学制</w:t>
      </w:r>
      <w:r>
        <w:rPr>
          <w:rFonts w:hint="eastAsia" w:ascii="黑体" w:hAnsi="黑体" w:eastAsia="黑体"/>
          <w:kern w:val="0"/>
          <w:sz w:val="24"/>
        </w:rPr>
        <w:t>：</w:t>
      </w:r>
      <w:r>
        <w:rPr>
          <w:bCs/>
          <w:kern w:val="0"/>
          <w:sz w:val="24"/>
        </w:rPr>
        <w:t>工商管理硕士</w:t>
      </w:r>
      <w:r>
        <w:rPr>
          <w:rFonts w:hint="eastAsia"/>
          <w:bCs/>
          <w:kern w:val="0"/>
          <w:sz w:val="24"/>
          <w:lang w:val="en-US" w:eastAsia="zh-CN"/>
        </w:rPr>
        <w:t>学制为</w:t>
      </w:r>
      <w:r>
        <w:rPr>
          <w:bCs/>
          <w:kern w:val="0"/>
          <w:sz w:val="24"/>
        </w:rPr>
        <w:t>2年，最长修业年限为3年</w:t>
      </w:r>
      <w:r>
        <w:rPr>
          <w:rFonts w:hint="eastAsia"/>
          <w:bCs/>
          <w:kern w:val="0"/>
          <w:sz w:val="24"/>
        </w:rPr>
        <w:t>；</w:t>
      </w:r>
      <w:r>
        <w:rPr>
          <w:bCs/>
          <w:kern w:val="0"/>
          <w:sz w:val="24"/>
        </w:rPr>
        <w:t>公共管理硕士</w:t>
      </w:r>
      <w:r>
        <w:rPr>
          <w:rFonts w:hint="eastAsia"/>
          <w:bCs/>
          <w:kern w:val="0"/>
          <w:sz w:val="24"/>
          <w:lang w:val="en-US" w:eastAsia="zh-CN"/>
        </w:rPr>
        <w:t>学制</w:t>
      </w:r>
      <w:r>
        <w:rPr>
          <w:bCs/>
          <w:kern w:val="0"/>
          <w:sz w:val="24"/>
        </w:rPr>
        <w:t>为2年，最长修业年限为</w:t>
      </w:r>
      <w:r>
        <w:rPr>
          <w:rFonts w:hint="eastAsia"/>
          <w:bCs/>
          <w:kern w:val="0"/>
          <w:sz w:val="24"/>
        </w:rPr>
        <w:t>4</w:t>
      </w:r>
      <w:r>
        <w:rPr>
          <w:bCs/>
          <w:kern w:val="0"/>
          <w:sz w:val="24"/>
        </w:rPr>
        <w:t>年</w:t>
      </w:r>
      <w:r>
        <w:rPr>
          <w:rFonts w:hint="eastAsia"/>
          <w:bCs/>
          <w:kern w:val="0"/>
          <w:sz w:val="24"/>
        </w:rPr>
        <w:t>；</w:t>
      </w:r>
      <w:r>
        <w:rPr>
          <w:bCs/>
          <w:kern w:val="0"/>
          <w:sz w:val="24"/>
        </w:rPr>
        <w:t>其他专业学位类别（领域）</w:t>
      </w:r>
      <w:r>
        <w:rPr>
          <w:rFonts w:hint="eastAsia"/>
          <w:bCs/>
          <w:kern w:val="0"/>
          <w:sz w:val="24"/>
          <w:lang w:val="en-US" w:eastAsia="zh-CN"/>
        </w:rPr>
        <w:t>学制</w:t>
      </w:r>
      <w:r>
        <w:rPr>
          <w:bCs/>
          <w:kern w:val="0"/>
          <w:sz w:val="24"/>
        </w:rPr>
        <w:t>为3年，最长修业年限为5年。</w:t>
      </w:r>
    </w:p>
    <w:p>
      <w:pPr>
        <w:spacing w:line="360" w:lineRule="auto"/>
        <w:rPr>
          <w:sz w:val="24"/>
        </w:rPr>
      </w:pPr>
      <w:r>
        <w:rPr>
          <w:rFonts w:ascii="黑体" w:hAnsi="黑体" w:eastAsia="黑体"/>
          <w:kern w:val="0"/>
          <w:sz w:val="24"/>
        </w:rPr>
        <w:t>二</w:t>
      </w:r>
      <w:r>
        <w:rPr>
          <w:rFonts w:hint="eastAsia" w:ascii="黑体" w:hAnsi="黑体" w:eastAsia="黑体"/>
          <w:kern w:val="0"/>
          <w:sz w:val="24"/>
        </w:rPr>
        <w:t>、学费：</w:t>
      </w:r>
      <w:r>
        <w:rPr>
          <w:rFonts w:hint="eastAsia"/>
          <w:sz w:val="24"/>
        </w:rPr>
        <w:t>按照国家规定和北京市物价局等部门审批的我校学费标准规定缴纳学费，学校根据</w:t>
      </w:r>
      <w:r>
        <w:rPr>
          <w:rFonts w:hint="eastAsia"/>
          <w:bCs/>
          <w:kern w:val="0"/>
          <w:sz w:val="24"/>
          <w:lang w:val="en-US" w:eastAsia="zh-CN"/>
        </w:rPr>
        <w:t>学制年限</w:t>
      </w:r>
      <w:r>
        <w:rPr>
          <w:bCs/>
          <w:kern w:val="0"/>
          <w:sz w:val="24"/>
        </w:rPr>
        <w:t>收费，</w:t>
      </w:r>
      <w:r>
        <w:rPr>
          <w:rFonts w:hint="eastAsia"/>
          <w:sz w:val="24"/>
        </w:rPr>
        <w:t>具体数额</w:t>
      </w:r>
      <w:r>
        <w:rPr>
          <w:bCs/>
          <w:kern w:val="0"/>
          <w:sz w:val="24"/>
        </w:rPr>
        <w:t>详见各专业学位招生简章中的规定</w:t>
      </w:r>
      <w:r>
        <w:rPr>
          <w:rFonts w:hint="eastAsia"/>
          <w:sz w:val="24"/>
        </w:rPr>
        <w:t>。</w:t>
      </w:r>
    </w:p>
    <w:p>
      <w:pPr>
        <w:spacing w:line="360" w:lineRule="auto"/>
        <w:rPr>
          <w:bCs/>
          <w:kern w:val="0"/>
          <w:sz w:val="24"/>
        </w:rPr>
      </w:pPr>
      <w:r>
        <w:rPr>
          <w:rFonts w:ascii="黑体" w:hAnsi="黑体" w:eastAsia="黑体"/>
          <w:kern w:val="0"/>
          <w:sz w:val="24"/>
        </w:rPr>
        <w:t>三</w:t>
      </w:r>
      <w:r>
        <w:rPr>
          <w:rFonts w:hint="eastAsia" w:ascii="黑体" w:hAnsi="黑体" w:eastAsia="黑体"/>
          <w:kern w:val="0"/>
          <w:sz w:val="24"/>
        </w:rPr>
        <w:t>、档案、户口：</w:t>
      </w:r>
      <w:r>
        <w:rPr>
          <w:rFonts w:hint="eastAsia"/>
          <w:bCs/>
          <w:kern w:val="0"/>
          <w:sz w:val="24"/>
        </w:rPr>
        <w:t>非全日制</w:t>
      </w:r>
      <w:r>
        <w:rPr>
          <w:rFonts w:hint="eastAsia"/>
          <w:sz w:val="24"/>
        </w:rPr>
        <w:t>专业学位研究生</w:t>
      </w:r>
      <w:r>
        <w:rPr>
          <w:rFonts w:hint="eastAsia"/>
          <w:bCs/>
          <w:kern w:val="0"/>
          <w:sz w:val="24"/>
        </w:rPr>
        <w:t>不脱产、不转档案、不转户口。</w:t>
      </w:r>
    </w:p>
    <w:p>
      <w:pPr>
        <w:spacing w:line="360" w:lineRule="auto"/>
        <w:rPr>
          <w:bCs/>
          <w:kern w:val="0"/>
          <w:sz w:val="24"/>
        </w:rPr>
      </w:pPr>
      <w:r>
        <w:rPr>
          <w:rFonts w:ascii="黑体" w:hAnsi="黑体" w:eastAsia="黑体"/>
          <w:kern w:val="0"/>
          <w:sz w:val="24"/>
        </w:rPr>
        <w:t>四</w:t>
      </w:r>
      <w:r>
        <w:rPr>
          <w:rFonts w:hint="eastAsia" w:ascii="黑体" w:hAnsi="黑体" w:eastAsia="黑体"/>
          <w:kern w:val="0"/>
          <w:sz w:val="24"/>
        </w:rPr>
        <w:t>、组织</w:t>
      </w:r>
      <w:r>
        <w:rPr>
          <w:rFonts w:ascii="黑体" w:hAnsi="黑体" w:eastAsia="黑体"/>
          <w:kern w:val="0"/>
          <w:sz w:val="24"/>
        </w:rPr>
        <w:t>关系</w:t>
      </w:r>
      <w:r>
        <w:rPr>
          <w:rFonts w:hint="eastAsia" w:ascii="黑体" w:hAnsi="黑体" w:eastAsia="黑体"/>
          <w:kern w:val="0"/>
          <w:sz w:val="24"/>
        </w:rPr>
        <w:t>：</w:t>
      </w:r>
      <w:r>
        <w:rPr>
          <w:rFonts w:hint="eastAsia"/>
          <w:sz w:val="24"/>
        </w:rPr>
        <w:t>非全日制专业学位研究生可</w:t>
      </w:r>
      <w:r>
        <w:rPr>
          <w:bCs/>
          <w:kern w:val="0"/>
          <w:sz w:val="24"/>
        </w:rPr>
        <w:t>自愿</w:t>
      </w:r>
      <w:r>
        <w:rPr>
          <w:rFonts w:hint="eastAsia"/>
          <w:bCs/>
          <w:kern w:val="0"/>
          <w:sz w:val="24"/>
        </w:rPr>
        <w:t>将党团</w:t>
      </w:r>
      <w:r>
        <w:rPr>
          <w:bCs/>
          <w:kern w:val="0"/>
          <w:sz w:val="24"/>
        </w:rPr>
        <w:t>组织关系</w:t>
      </w:r>
      <w:r>
        <w:rPr>
          <w:rFonts w:hint="eastAsia"/>
          <w:bCs/>
          <w:kern w:val="0"/>
          <w:sz w:val="24"/>
        </w:rPr>
        <w:t>转入就读学院，仅在办理入学手续时有一次转入机会。</w:t>
      </w:r>
    </w:p>
    <w:p>
      <w:pPr>
        <w:spacing w:line="360" w:lineRule="auto"/>
        <w:rPr>
          <w:bCs/>
          <w:kern w:val="0"/>
          <w:sz w:val="24"/>
        </w:rPr>
      </w:pPr>
      <w:r>
        <w:rPr>
          <w:rFonts w:ascii="黑体" w:hAnsi="黑体" w:eastAsia="黑体"/>
          <w:kern w:val="0"/>
          <w:sz w:val="24"/>
        </w:rPr>
        <w:t>五</w:t>
      </w:r>
      <w:r>
        <w:rPr>
          <w:rFonts w:hint="eastAsia" w:ascii="黑体" w:hAnsi="黑体" w:eastAsia="黑体"/>
          <w:kern w:val="0"/>
          <w:sz w:val="24"/>
        </w:rPr>
        <w:t>、派遣：</w:t>
      </w:r>
      <w:r>
        <w:rPr>
          <w:rFonts w:hint="eastAsia"/>
          <w:bCs/>
          <w:kern w:val="0"/>
          <w:sz w:val="24"/>
        </w:rPr>
        <w:t>非全日制</w:t>
      </w:r>
      <w:r>
        <w:rPr>
          <w:rFonts w:hint="eastAsia"/>
          <w:sz w:val="24"/>
        </w:rPr>
        <w:t>专业学位研究生</w:t>
      </w:r>
      <w:r>
        <w:rPr>
          <w:rFonts w:hint="eastAsia"/>
          <w:bCs/>
          <w:kern w:val="0"/>
          <w:sz w:val="24"/>
        </w:rPr>
        <w:t>不负责派遣。</w:t>
      </w:r>
    </w:p>
    <w:p>
      <w:pPr>
        <w:spacing w:line="360" w:lineRule="auto"/>
        <w:rPr>
          <w:sz w:val="24"/>
        </w:rPr>
      </w:pPr>
      <w:r>
        <w:rPr>
          <w:rFonts w:ascii="黑体" w:hAnsi="黑体" w:eastAsia="黑体"/>
          <w:kern w:val="0"/>
          <w:sz w:val="24"/>
        </w:rPr>
        <w:t>六</w:t>
      </w:r>
      <w:r>
        <w:rPr>
          <w:rFonts w:hint="eastAsia" w:ascii="黑体" w:hAnsi="黑体" w:eastAsia="黑体"/>
          <w:kern w:val="0"/>
          <w:sz w:val="24"/>
        </w:rPr>
        <w:t>、校园卡：</w:t>
      </w:r>
      <w:r>
        <w:rPr>
          <w:rFonts w:hint="eastAsia"/>
          <w:sz w:val="24"/>
        </w:rPr>
        <w:t>可办理校园卡，因非全日制专业学位研究生无国家拨款，暂不享受国家拨款所对应的各项补贴，按照中国农业大学校园卡管理办法收取管理费。</w:t>
      </w:r>
    </w:p>
    <w:p>
      <w:pPr>
        <w:spacing w:line="360" w:lineRule="auto"/>
        <w:rPr>
          <w:sz w:val="24"/>
        </w:rPr>
      </w:pPr>
      <w:r>
        <w:rPr>
          <w:rFonts w:ascii="黑体" w:hAnsi="黑体" w:eastAsia="黑体"/>
          <w:kern w:val="0"/>
          <w:sz w:val="24"/>
        </w:rPr>
        <w:t>七</w:t>
      </w:r>
      <w:r>
        <w:rPr>
          <w:rFonts w:hint="eastAsia" w:ascii="黑体" w:hAnsi="黑体" w:eastAsia="黑体"/>
          <w:kern w:val="0"/>
          <w:sz w:val="24"/>
        </w:rPr>
        <w:t>、住宿：</w:t>
      </w:r>
      <w:r>
        <w:rPr>
          <w:rFonts w:hint="eastAsia"/>
          <w:sz w:val="24"/>
        </w:rPr>
        <w:t>非全日制专业学位研究生不解决住宿。</w:t>
      </w:r>
    </w:p>
    <w:p>
      <w:pPr>
        <w:spacing w:line="360" w:lineRule="auto"/>
        <w:rPr>
          <w:sz w:val="24"/>
        </w:rPr>
      </w:pPr>
      <w:r>
        <w:rPr>
          <w:rFonts w:ascii="黑体" w:hAnsi="黑体" w:eastAsia="黑体"/>
          <w:kern w:val="0"/>
          <w:sz w:val="24"/>
        </w:rPr>
        <w:t>八</w:t>
      </w:r>
      <w:r>
        <w:rPr>
          <w:rFonts w:hint="eastAsia" w:ascii="黑体" w:hAnsi="黑体" w:eastAsia="黑体"/>
          <w:kern w:val="0"/>
          <w:sz w:val="24"/>
        </w:rPr>
        <w:t>、医疗：</w:t>
      </w:r>
      <w:r>
        <w:rPr>
          <w:rFonts w:hint="eastAsia"/>
          <w:sz w:val="24"/>
        </w:rPr>
        <w:t>因无国家拨款，非全日制专业学位研究生不享受公费医疗；</w:t>
      </w:r>
      <w:r>
        <w:rPr>
          <w:sz w:val="24"/>
        </w:rPr>
        <w:t>可自愿</w:t>
      </w:r>
      <w:r>
        <w:rPr>
          <w:rFonts w:hint="eastAsia"/>
          <w:sz w:val="24"/>
        </w:rPr>
        <w:t>购买商业医疗保险。</w:t>
      </w:r>
      <w:bookmarkStart w:id="0" w:name="_GoBack"/>
      <w:bookmarkEnd w:id="0"/>
    </w:p>
    <w:p>
      <w:pPr>
        <w:spacing w:line="360" w:lineRule="auto"/>
        <w:rPr>
          <w:sz w:val="24"/>
        </w:rPr>
      </w:pPr>
      <w:r>
        <w:rPr>
          <w:rFonts w:ascii="黑体" w:hAnsi="黑体" w:eastAsia="黑体"/>
          <w:kern w:val="0"/>
          <w:sz w:val="24"/>
        </w:rPr>
        <w:t>九</w:t>
      </w:r>
      <w:r>
        <w:rPr>
          <w:rFonts w:hint="eastAsia" w:ascii="黑体" w:hAnsi="黑体" w:eastAsia="黑体"/>
          <w:kern w:val="0"/>
          <w:sz w:val="24"/>
        </w:rPr>
        <w:t>、奖助：</w:t>
      </w:r>
      <w:r>
        <w:rPr>
          <w:rFonts w:hint="eastAsia"/>
          <w:sz w:val="24"/>
        </w:rPr>
        <w:t>非全日制专业学位研究生不享受国家拨款的各类奖助学金，其他由学校设立的奖、助学金可参照当年相应的文件办法执行。</w:t>
      </w:r>
    </w:p>
    <w:p>
      <w:pPr>
        <w:spacing w:line="360" w:lineRule="auto"/>
        <w:rPr>
          <w:rFonts w:hint="eastAsia"/>
          <w:sz w:val="24"/>
        </w:rPr>
      </w:pPr>
      <w:r>
        <w:rPr>
          <w:rFonts w:ascii="黑体" w:hAnsi="黑体" w:eastAsia="黑体"/>
          <w:kern w:val="0"/>
          <w:sz w:val="24"/>
        </w:rPr>
        <w:t>十</w:t>
      </w:r>
      <w:r>
        <w:rPr>
          <w:rFonts w:hint="eastAsia" w:ascii="黑体" w:hAnsi="黑体" w:eastAsia="黑体"/>
          <w:kern w:val="0"/>
          <w:sz w:val="24"/>
        </w:rPr>
        <w:t>、其他：</w:t>
      </w:r>
      <w:r>
        <w:rPr>
          <w:rFonts w:hint="eastAsia"/>
          <w:sz w:val="24"/>
        </w:rPr>
        <w:t>按照教育部相关文件，非全日制和全日制专业学位研究生实行相同的考试招生政策和培养标准；毕业要求及学位授予要求坚持统一标准，保证同等质量；</w:t>
      </w:r>
      <w:r>
        <w:rPr>
          <w:color w:val="000000"/>
          <w:kern w:val="0"/>
          <w:sz w:val="24"/>
        </w:rPr>
        <w:t>毕业证书上</w:t>
      </w:r>
      <w:r>
        <w:rPr>
          <w:rFonts w:hint="eastAsia"/>
          <w:color w:val="000000"/>
          <w:kern w:val="0"/>
          <w:sz w:val="24"/>
        </w:rPr>
        <w:t>分别</w:t>
      </w:r>
      <w:r>
        <w:rPr>
          <w:color w:val="000000"/>
          <w:kern w:val="0"/>
          <w:sz w:val="24"/>
        </w:rPr>
        <w:t>注明学习方式为</w:t>
      </w:r>
      <w:r>
        <w:rPr>
          <w:rFonts w:hint="eastAsia"/>
          <w:color w:val="000000"/>
          <w:kern w:val="0"/>
          <w:sz w:val="24"/>
        </w:rPr>
        <w:t>“</w:t>
      </w:r>
      <w:r>
        <w:rPr>
          <w:color w:val="000000"/>
          <w:kern w:val="0"/>
          <w:sz w:val="24"/>
        </w:rPr>
        <w:t>非全日制</w:t>
      </w:r>
      <w:r>
        <w:rPr>
          <w:rFonts w:hint="eastAsia"/>
          <w:color w:val="000000"/>
          <w:kern w:val="0"/>
          <w:sz w:val="24"/>
        </w:rPr>
        <w:t>”、“</w:t>
      </w:r>
      <w:r>
        <w:rPr>
          <w:color w:val="000000"/>
          <w:kern w:val="0"/>
          <w:sz w:val="24"/>
        </w:rPr>
        <w:t>全日制</w:t>
      </w:r>
      <w:r>
        <w:rPr>
          <w:rFonts w:hint="eastAsia"/>
          <w:color w:val="000000"/>
          <w:kern w:val="0"/>
          <w:sz w:val="24"/>
        </w:rPr>
        <w:t>”；</w:t>
      </w:r>
      <w:r>
        <w:rPr>
          <w:rFonts w:hint="eastAsia"/>
          <w:sz w:val="24"/>
        </w:rPr>
        <w:t>学位证书均为</w:t>
      </w:r>
      <w:r>
        <w:rPr>
          <w:color w:val="000000"/>
          <w:kern w:val="0"/>
          <w:sz w:val="24"/>
        </w:rPr>
        <w:t>专业学位证书</w:t>
      </w:r>
      <w:r>
        <w:rPr>
          <w:rFonts w:hint="eastAsia"/>
          <w:sz w:val="24"/>
        </w:rPr>
        <w:t>。</w:t>
      </w:r>
    </w:p>
    <w:p>
      <w:pPr>
        <w:spacing w:line="360" w:lineRule="auto"/>
        <w:ind w:left="420"/>
        <w:rPr>
          <w:rFonts w:hint="eastAsia"/>
          <w:sz w:val="24"/>
        </w:rPr>
      </w:pPr>
    </w:p>
    <w:p>
      <w:pPr>
        <w:spacing w:line="360" w:lineRule="auto"/>
        <w:ind w:left="480"/>
        <w:jc w:val="right"/>
        <w:rPr>
          <w:rFonts w:hint="eastAsia"/>
          <w:sz w:val="24"/>
        </w:rPr>
      </w:pPr>
      <w:r>
        <w:rPr>
          <w:rFonts w:hint="eastAsia" w:ascii="黑体" w:hAnsi="黑体" w:eastAsia="黑体"/>
          <w:kern w:val="0"/>
          <w:sz w:val="24"/>
        </w:rPr>
        <w:t>知情同意人：</w:t>
      </w:r>
      <w:r>
        <w:rPr>
          <w:rFonts w:hint="eastAsia"/>
          <w:sz w:val="24"/>
        </w:rPr>
        <w:t>______________________</w:t>
      </w:r>
    </w:p>
    <w:p>
      <w:pPr>
        <w:wordWrap w:val="0"/>
        <w:spacing w:line="360" w:lineRule="auto"/>
        <w:ind w:firstLine="480" w:firstLineChars="200"/>
        <w:jc w:val="right"/>
        <w:rPr>
          <w:rFonts w:hint="eastAsia"/>
          <w:sz w:val="24"/>
        </w:rPr>
      </w:pPr>
      <w:r>
        <w:rPr>
          <w:rFonts w:hint="eastAsia"/>
          <w:sz w:val="24"/>
        </w:rPr>
        <w:t xml:space="preserve"> 年   月   日</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824"/>
    <w:rsid w:val="00023130"/>
    <w:rsid w:val="000C7B82"/>
    <w:rsid w:val="000D481D"/>
    <w:rsid w:val="000E5E59"/>
    <w:rsid w:val="00102F99"/>
    <w:rsid w:val="001052AA"/>
    <w:rsid w:val="002D0A5E"/>
    <w:rsid w:val="00351662"/>
    <w:rsid w:val="00373FC3"/>
    <w:rsid w:val="00381C74"/>
    <w:rsid w:val="00382DB8"/>
    <w:rsid w:val="00415C6E"/>
    <w:rsid w:val="004533BC"/>
    <w:rsid w:val="0045407E"/>
    <w:rsid w:val="00480824"/>
    <w:rsid w:val="004D16F3"/>
    <w:rsid w:val="004F4FE2"/>
    <w:rsid w:val="00523A82"/>
    <w:rsid w:val="0052672E"/>
    <w:rsid w:val="00543479"/>
    <w:rsid w:val="00587440"/>
    <w:rsid w:val="005908F8"/>
    <w:rsid w:val="005A1B7C"/>
    <w:rsid w:val="005A3124"/>
    <w:rsid w:val="005D2B74"/>
    <w:rsid w:val="00636232"/>
    <w:rsid w:val="0069309A"/>
    <w:rsid w:val="006A69BB"/>
    <w:rsid w:val="0079149F"/>
    <w:rsid w:val="007B2C92"/>
    <w:rsid w:val="007B52F5"/>
    <w:rsid w:val="007F2F53"/>
    <w:rsid w:val="007F6FFF"/>
    <w:rsid w:val="00802037"/>
    <w:rsid w:val="00867EB0"/>
    <w:rsid w:val="008B1CF3"/>
    <w:rsid w:val="00934EAC"/>
    <w:rsid w:val="00A40B33"/>
    <w:rsid w:val="00A74A83"/>
    <w:rsid w:val="00AA18E0"/>
    <w:rsid w:val="00B60AC3"/>
    <w:rsid w:val="00BB5CF9"/>
    <w:rsid w:val="00BD44B6"/>
    <w:rsid w:val="00BD7654"/>
    <w:rsid w:val="00C373D9"/>
    <w:rsid w:val="00C7072E"/>
    <w:rsid w:val="00C777E0"/>
    <w:rsid w:val="00CB6D1E"/>
    <w:rsid w:val="00CD2C35"/>
    <w:rsid w:val="00CE4AB3"/>
    <w:rsid w:val="00D44FA3"/>
    <w:rsid w:val="00D719A8"/>
    <w:rsid w:val="00DA0085"/>
    <w:rsid w:val="00DC21EF"/>
    <w:rsid w:val="00DC71C7"/>
    <w:rsid w:val="00E23463"/>
    <w:rsid w:val="00E55A34"/>
    <w:rsid w:val="00E62B1B"/>
    <w:rsid w:val="00E6768E"/>
    <w:rsid w:val="00E753DE"/>
    <w:rsid w:val="00EA08CF"/>
    <w:rsid w:val="00ED3F55"/>
    <w:rsid w:val="00F57884"/>
    <w:rsid w:val="00FF1291"/>
    <w:rsid w:val="0FF93F94"/>
    <w:rsid w:val="17D26EBB"/>
    <w:rsid w:val="485A21CC"/>
    <w:rsid w:val="500A5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link w:val="4"/>
    <w:qFormat/>
    <w:uiPriority w:val="0"/>
    <w:rPr>
      <w:kern w:val="2"/>
      <w:sz w:val="18"/>
      <w:szCs w:val="18"/>
    </w:rPr>
  </w:style>
  <w:style w:type="character" w:customStyle="1" w:styleId="8">
    <w:name w:val="页脚 Char"/>
    <w:link w:val="3"/>
    <w:uiPriority w:val="0"/>
    <w:rPr>
      <w:kern w:val="2"/>
      <w:sz w:val="18"/>
      <w:szCs w:val="18"/>
    </w:rPr>
  </w:style>
  <w:style w:type="character" w:customStyle="1" w:styleId="9">
    <w:name w:val="批注框文本 Char"/>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南开大学</Company>
  <Pages>1</Pages>
  <Words>124</Words>
  <Characters>708</Characters>
  <Lines>5</Lines>
  <Paragraphs>1</Paragraphs>
  <TotalTime>18</TotalTime>
  <ScaleCrop>false</ScaleCrop>
  <LinksUpToDate>false</LinksUpToDate>
  <CharactersWithSpaces>831</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2017-03-16T06:39:00Z</dcterms:created>
  <dc:creator>微软用户</dc:creator>
  <cp:lastModifiedBy>牛</cp:lastModifiedBy>
  <cp:lastPrinted>2017-03-16T06:35:00Z</cp:lastPrinted>
  <dcterms:modified xsi:type="dcterms:W3CDTF">2020-09-06T01:12:43Z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